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4" w:rsidRPr="005C494C" w:rsidRDefault="009A4964" w:rsidP="009A4964">
      <w:pPr>
        <w:jc w:val="center"/>
        <w:rPr>
          <w:rFonts w:cs="Arial Black"/>
          <w:b/>
        </w:rPr>
      </w:pPr>
      <w:r w:rsidRPr="005C494C">
        <w:rPr>
          <w:rFonts w:cs="Arial Black"/>
          <w:b/>
        </w:rPr>
        <w:t xml:space="preserve">Некоторые аспекты  разработки диагностических материалов для  измерения </w:t>
      </w:r>
      <w:proofErr w:type="spellStart"/>
      <w:r w:rsidRPr="005C494C">
        <w:rPr>
          <w:rFonts w:cs="Arial Black"/>
          <w:b/>
        </w:rPr>
        <w:t>метапредметных</w:t>
      </w:r>
      <w:proofErr w:type="spellEnd"/>
      <w:r w:rsidRPr="005C494C">
        <w:rPr>
          <w:rFonts w:cs="Arial Black"/>
          <w:b/>
        </w:rPr>
        <w:t xml:space="preserve"> результатов учебн</w:t>
      </w:r>
      <w:r>
        <w:rPr>
          <w:rFonts w:cs="Arial Black"/>
          <w:b/>
        </w:rPr>
        <w:t xml:space="preserve">ой деятельности в начальной школе. </w:t>
      </w:r>
    </w:p>
    <w:p w:rsidR="009A4964" w:rsidRPr="005C494C" w:rsidRDefault="009A4964" w:rsidP="009A4964">
      <w:pPr>
        <w:jc w:val="center"/>
        <w:rPr>
          <w:rFonts w:cs="Arial Black"/>
          <w:b/>
        </w:rPr>
      </w:pPr>
    </w:p>
    <w:p w:rsidR="009A4964" w:rsidRDefault="009A4964" w:rsidP="009A4964">
      <w:pPr>
        <w:rPr>
          <w:rFonts w:cs="Arial Black"/>
        </w:rPr>
      </w:pPr>
      <w:r w:rsidRPr="007459A0">
        <w:rPr>
          <w:rFonts w:cs="Arial Black"/>
        </w:rPr>
        <w:t xml:space="preserve"> </w:t>
      </w: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  <w:r w:rsidRPr="007459A0">
        <w:rPr>
          <w:rFonts w:cs="Arial Black"/>
        </w:rPr>
        <w:t>С в</w:t>
      </w:r>
      <w:r>
        <w:rPr>
          <w:rFonts w:cs="Arial Black"/>
        </w:rPr>
        <w:t>ведением ФГОС в профессиональную  деятельность</w:t>
      </w:r>
      <w:r w:rsidRPr="007459A0">
        <w:rPr>
          <w:rFonts w:cs="Arial Black"/>
        </w:rPr>
        <w:t xml:space="preserve"> учителя вошло понятие универсальные учебные действия. В настоящее время оно стало определяющим термином для определения результативности образовательного </w:t>
      </w:r>
      <w:r>
        <w:rPr>
          <w:rFonts w:cs="Arial Black"/>
        </w:rPr>
        <w:t>процесса.</w:t>
      </w:r>
      <w:r w:rsidRPr="007459A0">
        <w:rPr>
          <w:rFonts w:cs="Arial Black"/>
        </w:rPr>
        <w:t xml:space="preserve"> </w:t>
      </w:r>
      <w:r>
        <w:rPr>
          <w:rFonts w:cs="Arial Black"/>
        </w:rPr>
        <w:t xml:space="preserve">Уровень </w:t>
      </w:r>
      <w:r w:rsidRPr="007459A0">
        <w:rPr>
          <w:rFonts w:cs="Arial Black"/>
        </w:rPr>
        <w:t xml:space="preserve"> владения УУД обуславливает эффективность деятельности </w:t>
      </w:r>
      <w:proofErr w:type="gramStart"/>
      <w:r w:rsidRPr="007459A0">
        <w:rPr>
          <w:rFonts w:cs="Arial Black"/>
        </w:rPr>
        <w:t>обучающихся</w:t>
      </w:r>
      <w:proofErr w:type="gramEnd"/>
      <w:r>
        <w:rPr>
          <w:rFonts w:cs="Arial Black"/>
        </w:rPr>
        <w:t xml:space="preserve">. </w:t>
      </w:r>
    </w:p>
    <w:p w:rsidR="009A4964" w:rsidRDefault="009A4964" w:rsidP="009A4964">
      <w:pPr>
        <w:rPr>
          <w:rFonts w:cs="Arial Black"/>
        </w:rPr>
      </w:pPr>
      <w:r w:rsidRPr="007459A0">
        <w:rPr>
          <w:rFonts w:cs="Arial Black"/>
        </w:rPr>
        <w:t xml:space="preserve"> </w:t>
      </w:r>
      <w:r>
        <w:rPr>
          <w:rFonts w:cs="Arial Black"/>
        </w:rPr>
        <w:t xml:space="preserve"> </w:t>
      </w:r>
      <w:r w:rsidRPr="007459A0">
        <w:rPr>
          <w:rFonts w:cs="Arial Black"/>
        </w:rPr>
        <w:t xml:space="preserve"> ФГОС устанавливает требования к трем группам резул</w:t>
      </w:r>
      <w:r>
        <w:rPr>
          <w:rFonts w:cs="Arial Black"/>
        </w:rPr>
        <w:t>ьтатов учебной деятельности: л</w:t>
      </w:r>
      <w:r w:rsidRPr="007459A0">
        <w:rPr>
          <w:rFonts w:cs="Arial Black"/>
        </w:rPr>
        <w:t>ичностным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 </w:t>
      </w:r>
      <w:proofErr w:type="spellStart"/>
      <w:r w:rsidRPr="007459A0">
        <w:rPr>
          <w:rFonts w:cs="Arial Black"/>
        </w:rPr>
        <w:t>метапредметным</w:t>
      </w:r>
      <w:proofErr w:type="spellEnd"/>
      <w:r>
        <w:rPr>
          <w:rFonts w:cs="Arial Black"/>
        </w:rPr>
        <w:t xml:space="preserve">, </w:t>
      </w:r>
      <w:r w:rsidRPr="007459A0">
        <w:rPr>
          <w:rFonts w:cs="Arial Black"/>
        </w:rPr>
        <w:t xml:space="preserve">предметным. Если </w:t>
      </w:r>
      <w:proofErr w:type="spellStart"/>
      <w:r w:rsidRPr="007459A0">
        <w:rPr>
          <w:rFonts w:cs="Arial Black"/>
        </w:rPr>
        <w:t>диагностик</w:t>
      </w:r>
      <w:proofErr w:type="gramStart"/>
      <w:r w:rsidRPr="007459A0">
        <w:rPr>
          <w:rFonts w:cs="Arial Black"/>
        </w:rPr>
        <w:t>о</w:t>
      </w:r>
      <w:proofErr w:type="spellEnd"/>
      <w:r w:rsidRPr="007459A0">
        <w:rPr>
          <w:rFonts w:cs="Arial Black"/>
        </w:rPr>
        <w:t>-</w:t>
      </w:r>
      <w:proofErr w:type="gramEnd"/>
      <w:r w:rsidRPr="007459A0">
        <w:rPr>
          <w:rFonts w:cs="Arial Black"/>
        </w:rPr>
        <w:t xml:space="preserve"> аналитические материалы для изучения и анализа предметных результатов достаточно хорошо известны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то инструментарий для исследования личностных и </w:t>
      </w:r>
      <w:proofErr w:type="spellStart"/>
      <w:r w:rsidRPr="007459A0">
        <w:rPr>
          <w:rFonts w:cs="Arial Black"/>
        </w:rPr>
        <w:t>метапредметных</w:t>
      </w:r>
      <w:proofErr w:type="spellEnd"/>
      <w:r w:rsidRPr="007459A0">
        <w:rPr>
          <w:rFonts w:cs="Arial Black"/>
        </w:rPr>
        <w:t xml:space="preserve"> результатов находится в процессе разработки.</w:t>
      </w:r>
    </w:p>
    <w:p w:rsidR="009A4964" w:rsidRPr="000533F6" w:rsidRDefault="009A4964" w:rsidP="009A4964">
      <w:pPr>
        <w:rPr>
          <w:rFonts w:cs="Arial Black"/>
          <w:i/>
        </w:rPr>
      </w:pPr>
      <w:r w:rsidRPr="000533F6">
        <w:rPr>
          <w:rFonts w:cs="Arial Black"/>
          <w:i/>
        </w:rPr>
        <w:t xml:space="preserve"> </w:t>
      </w:r>
      <w:r w:rsidRPr="00EF6EA6">
        <w:rPr>
          <w:rFonts w:cs="Arial Black"/>
        </w:rPr>
        <w:t xml:space="preserve">Данная проблема актуальна, но является достаточно сложной для учителей-практиков, поэтому в 2014 году  педагоги  нашей школы создали творческую группу по разработке диагностических материалов  для отслеживания уровня </w:t>
      </w:r>
      <w:proofErr w:type="spellStart"/>
      <w:r w:rsidRPr="00EF6EA6">
        <w:rPr>
          <w:rFonts w:cs="Arial Black"/>
        </w:rPr>
        <w:t>сформированности</w:t>
      </w:r>
      <w:proofErr w:type="spellEnd"/>
      <w:r w:rsidRPr="00EF6EA6">
        <w:rPr>
          <w:rFonts w:cs="Arial Black"/>
        </w:rPr>
        <w:t xml:space="preserve"> универсальных учебных действий. Свою работу группа начала с изучения основополагающего документа-Федерального государственного образовательного стандарта начального общего образования </w:t>
      </w:r>
      <w:proofErr w:type="gramStart"/>
      <w:r w:rsidRPr="00EF6EA6">
        <w:rPr>
          <w:rFonts w:cs="Arial Black"/>
        </w:rPr>
        <w:t xml:space="preserve">( </w:t>
      </w:r>
      <w:proofErr w:type="gramEnd"/>
      <w:r w:rsidRPr="00EF6EA6">
        <w:rPr>
          <w:rFonts w:cs="Arial Black"/>
        </w:rPr>
        <w:t xml:space="preserve">Стандарт). ФГОС начального общего образования ставит целью и основным результатом  современного российского образования развитие личности обучающегося на основе усвоения УУД, познания и освоения мира. </w:t>
      </w:r>
      <w:proofErr w:type="gramStart"/>
      <w:r w:rsidRPr="00EF6EA6">
        <w:rPr>
          <w:rFonts w:cs="Arial Black"/>
        </w:rPr>
        <w:t>( ФГОС начального  общего  образования.</w:t>
      </w:r>
      <w:proofErr w:type="gramEnd"/>
      <w:r w:rsidRPr="00EF6EA6">
        <w:rPr>
          <w:rFonts w:cs="Arial Black"/>
        </w:rPr>
        <w:t xml:space="preserve"> Министерство образования и науки РФ. Москва: Просвещение</w:t>
      </w:r>
      <w:r>
        <w:rPr>
          <w:rFonts w:cs="Arial Black"/>
          <w:i/>
        </w:rPr>
        <w:t>, 2016, с. 17</w:t>
      </w:r>
      <w:proofErr w:type="gramStart"/>
      <w:r>
        <w:rPr>
          <w:rFonts w:cs="Arial Black"/>
          <w:i/>
        </w:rPr>
        <w:t xml:space="preserve"> </w:t>
      </w:r>
      <w:r w:rsidRPr="000533F6">
        <w:rPr>
          <w:rFonts w:cs="Arial Black"/>
          <w:i/>
        </w:rPr>
        <w:t>)</w:t>
      </w:r>
      <w:proofErr w:type="gramEnd"/>
      <w:r w:rsidRPr="000533F6">
        <w:rPr>
          <w:rFonts w:cs="Arial Black"/>
          <w:i/>
        </w:rPr>
        <w:t xml:space="preserve">.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На следующем этапе мы обратились к работам современных ученых.  </w:t>
      </w:r>
    </w:p>
    <w:p w:rsidR="009A4964" w:rsidRPr="00CF7C2C" w:rsidRDefault="009A4964" w:rsidP="009A4964">
      <w:pPr>
        <w:rPr>
          <w:rFonts w:cs="Arial Black"/>
        </w:rPr>
      </w:pPr>
      <w:r w:rsidRPr="007459A0">
        <w:rPr>
          <w:rFonts w:cs="Arial Black"/>
        </w:rPr>
        <w:t xml:space="preserve"> В настоящее время многие </w:t>
      </w:r>
      <w:r>
        <w:rPr>
          <w:rFonts w:cs="Arial Black"/>
        </w:rPr>
        <w:t>из них</w:t>
      </w:r>
      <w:r w:rsidRPr="007459A0">
        <w:rPr>
          <w:rFonts w:cs="Arial Black"/>
        </w:rPr>
        <w:t xml:space="preserve"> с</w:t>
      </w:r>
      <w:r>
        <w:rPr>
          <w:rFonts w:cs="Arial Black"/>
        </w:rPr>
        <w:t>овместно с учителями</w:t>
      </w:r>
      <w:r w:rsidRPr="007459A0">
        <w:rPr>
          <w:rFonts w:cs="Arial Black"/>
        </w:rPr>
        <w:t xml:space="preserve"> выдвигают и апробируют </w:t>
      </w:r>
      <w:r>
        <w:rPr>
          <w:rFonts w:cs="Arial Black"/>
        </w:rPr>
        <w:t xml:space="preserve"> разнообразные </w:t>
      </w:r>
      <w:r w:rsidRPr="007459A0">
        <w:rPr>
          <w:rFonts w:cs="Arial Black"/>
        </w:rPr>
        <w:t xml:space="preserve"> методики диагностирования и оценивания личностных и </w:t>
      </w:r>
      <w:proofErr w:type="spellStart"/>
      <w:r w:rsidRPr="007459A0">
        <w:rPr>
          <w:rFonts w:cs="Arial Black"/>
        </w:rPr>
        <w:t>метапредметных</w:t>
      </w:r>
      <w:proofErr w:type="spellEnd"/>
      <w:r w:rsidRPr="007459A0">
        <w:rPr>
          <w:rFonts w:cs="Arial Black"/>
        </w:rPr>
        <w:t xml:space="preserve"> результатов. Интересными являются  материалы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представленные Красноярским краевым институтом повышения квалификации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Федеральным научно-метод</w:t>
      </w:r>
      <w:r>
        <w:rPr>
          <w:rFonts w:cs="Arial Black"/>
        </w:rPr>
        <w:t xml:space="preserve">ическим центром им. </w:t>
      </w:r>
      <w:proofErr w:type="spellStart"/>
      <w:r>
        <w:rPr>
          <w:rFonts w:cs="Arial Black"/>
        </w:rPr>
        <w:t>Л.В.Занкова</w:t>
      </w:r>
      <w:proofErr w:type="spellEnd"/>
      <w:r>
        <w:rPr>
          <w:rFonts w:cs="Arial Black"/>
        </w:rPr>
        <w:t xml:space="preserve">, ЧОУ СОШ </w:t>
      </w:r>
      <w:r w:rsidRPr="0086545D">
        <w:rPr>
          <w:rFonts w:cs="Arial Black"/>
        </w:rPr>
        <w:t>‘’</w:t>
      </w:r>
      <w:r>
        <w:rPr>
          <w:rFonts w:cs="Arial Black"/>
        </w:rPr>
        <w:t>Ломоносовская школа</w:t>
      </w:r>
      <w:r w:rsidRPr="0086545D">
        <w:rPr>
          <w:rFonts w:cs="Arial Black"/>
        </w:rPr>
        <w:t>’’</w:t>
      </w:r>
      <w:r>
        <w:rPr>
          <w:rFonts w:cs="Arial Black"/>
        </w:rPr>
        <w:t xml:space="preserve"> г. Москва. Ознакомившись с системой оценивания планируемых результатов в начальной школе </w:t>
      </w:r>
      <w:r w:rsidRPr="0086545D">
        <w:rPr>
          <w:rFonts w:cs="Arial Black"/>
        </w:rPr>
        <w:t>“</w:t>
      </w:r>
      <w:r>
        <w:rPr>
          <w:rFonts w:cs="Arial Black"/>
        </w:rPr>
        <w:t>Ломоносовской школы</w:t>
      </w:r>
      <w:r w:rsidRPr="0086545D">
        <w:rPr>
          <w:rFonts w:cs="Arial Black"/>
        </w:rPr>
        <w:t>”</w:t>
      </w:r>
      <w:r>
        <w:rPr>
          <w:rFonts w:cs="Arial Black"/>
        </w:rPr>
        <w:t xml:space="preserve">, изучив теорию О. В. Запятой о </w:t>
      </w:r>
      <w:r w:rsidRPr="00CF7C2C">
        <w:rPr>
          <w:rFonts w:cs="Arial Black"/>
        </w:rPr>
        <w:t>“</w:t>
      </w:r>
      <w:proofErr w:type="spellStart"/>
      <w:r>
        <w:rPr>
          <w:rFonts w:cs="Arial Black"/>
        </w:rPr>
        <w:t>макроумениях</w:t>
      </w:r>
      <w:proofErr w:type="spellEnd"/>
      <w:r w:rsidRPr="00CF7C2C">
        <w:rPr>
          <w:rFonts w:cs="Arial Black"/>
        </w:rPr>
        <w:t>”</w:t>
      </w:r>
      <w:r>
        <w:rPr>
          <w:rFonts w:cs="Arial Black"/>
        </w:rPr>
        <w:t xml:space="preserve"> и</w:t>
      </w:r>
      <w:r w:rsidRPr="00CF7C2C">
        <w:rPr>
          <w:rFonts w:cs="Arial Black"/>
        </w:rPr>
        <w:t xml:space="preserve"> “</w:t>
      </w:r>
      <w:proofErr w:type="spellStart"/>
      <w:r>
        <w:rPr>
          <w:rFonts w:cs="Arial Black"/>
        </w:rPr>
        <w:t>микроумениях</w:t>
      </w:r>
      <w:proofErr w:type="spellEnd"/>
      <w:r w:rsidRPr="00CF7C2C">
        <w:rPr>
          <w:rFonts w:cs="Arial Black"/>
        </w:rPr>
        <w:t>”</w:t>
      </w:r>
      <w:r>
        <w:rPr>
          <w:rFonts w:cs="Arial Black"/>
        </w:rPr>
        <w:t xml:space="preserve">, апробировав алгоритм  формирования УУД, выработанный научно-методическим центром им. Л. В. </w:t>
      </w:r>
      <w:proofErr w:type="spellStart"/>
      <w:r>
        <w:rPr>
          <w:rFonts w:cs="Arial Black"/>
        </w:rPr>
        <w:t>Занкова</w:t>
      </w:r>
      <w:proofErr w:type="spellEnd"/>
      <w:r>
        <w:rPr>
          <w:rFonts w:cs="Arial Black"/>
        </w:rPr>
        <w:t>, мы пришли к выводу, что последний  больше подходит для практического использования в начальной школе.</w:t>
      </w:r>
    </w:p>
    <w:p w:rsidR="009A4964" w:rsidRDefault="009A4964" w:rsidP="009A4964">
      <w:pPr>
        <w:rPr>
          <w:rFonts w:cs="Arial Black"/>
        </w:rPr>
      </w:pPr>
      <w:r w:rsidRPr="007459A0">
        <w:rPr>
          <w:rFonts w:cs="Arial Black"/>
        </w:rPr>
        <w:t xml:space="preserve"> Свои разработки данные педагоги основывают на требованиях Стандарта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согласно которому результаты обучающихся являются их действия</w:t>
      </w:r>
      <w:r>
        <w:rPr>
          <w:rFonts w:cs="Arial Black"/>
        </w:rPr>
        <w:t xml:space="preserve"> </w:t>
      </w:r>
      <w:proofErr w:type="gramStart"/>
      <w:r>
        <w:rPr>
          <w:rFonts w:cs="Arial Black"/>
        </w:rPr>
        <w:t>(</w:t>
      </w:r>
      <w:r w:rsidRPr="007459A0">
        <w:rPr>
          <w:rFonts w:cs="Arial Black"/>
        </w:rPr>
        <w:t xml:space="preserve"> </w:t>
      </w:r>
      <w:proofErr w:type="gramEnd"/>
      <w:r w:rsidRPr="007459A0">
        <w:rPr>
          <w:rFonts w:cs="Arial Black"/>
        </w:rPr>
        <w:t>умения</w:t>
      </w:r>
      <w:r>
        <w:rPr>
          <w:rFonts w:cs="Arial Black"/>
        </w:rPr>
        <w:t>)</w:t>
      </w:r>
      <w:r w:rsidRPr="007459A0">
        <w:rPr>
          <w:rFonts w:cs="Arial Black"/>
        </w:rPr>
        <w:t xml:space="preserve"> по использованию знаний </w:t>
      </w:r>
      <w:r>
        <w:rPr>
          <w:rFonts w:cs="Arial Black"/>
        </w:rPr>
        <w:t xml:space="preserve">в ходе решения задач. Эти действия </w:t>
      </w:r>
      <w:r w:rsidRPr="007459A0">
        <w:rPr>
          <w:rFonts w:cs="Arial Black"/>
        </w:rPr>
        <w:t xml:space="preserve"> могут быть личностными</w:t>
      </w:r>
      <w:r>
        <w:rPr>
          <w:rFonts w:cs="Arial Black"/>
        </w:rPr>
        <w:t xml:space="preserve">,  </w:t>
      </w:r>
      <w:r w:rsidRPr="007459A0">
        <w:rPr>
          <w:rFonts w:cs="Arial Black"/>
        </w:rPr>
        <w:t xml:space="preserve"> предметными</w:t>
      </w:r>
      <w:r>
        <w:rPr>
          <w:rFonts w:cs="Arial Black"/>
        </w:rPr>
        <w:t xml:space="preserve"> и </w:t>
      </w:r>
      <w:r w:rsidRPr="007459A0">
        <w:rPr>
          <w:rFonts w:cs="Arial Black"/>
        </w:rPr>
        <w:t xml:space="preserve"> </w:t>
      </w:r>
      <w:proofErr w:type="spellStart"/>
      <w:r w:rsidRPr="007459A0">
        <w:rPr>
          <w:rFonts w:cs="Arial Black"/>
        </w:rPr>
        <w:t>метапредметными</w:t>
      </w:r>
      <w:proofErr w:type="spellEnd"/>
      <w:r w:rsidRPr="007459A0">
        <w:rPr>
          <w:rFonts w:cs="Arial Black"/>
        </w:rPr>
        <w:t>.</w:t>
      </w:r>
    </w:p>
    <w:p w:rsidR="009A4964" w:rsidRDefault="009A4964" w:rsidP="009A4964">
      <w:pPr>
        <w:rPr>
          <w:rFonts w:cs="Arial Black"/>
        </w:rPr>
      </w:pPr>
      <w:r w:rsidRPr="007459A0">
        <w:rPr>
          <w:rFonts w:cs="Arial Black"/>
        </w:rPr>
        <w:t xml:space="preserve"> В свою очередь </w:t>
      </w:r>
      <w:proofErr w:type="spellStart"/>
      <w:r w:rsidRPr="007459A0">
        <w:rPr>
          <w:rFonts w:cs="Arial Black"/>
        </w:rPr>
        <w:t>метапредметные</w:t>
      </w:r>
      <w:proofErr w:type="spellEnd"/>
      <w:r w:rsidRPr="007459A0">
        <w:rPr>
          <w:rFonts w:cs="Arial Black"/>
        </w:rPr>
        <w:t xml:space="preserve"> УУД подразделяются на регулятивные</w:t>
      </w:r>
      <w:proofErr w:type="gramStart"/>
      <w:r>
        <w:rPr>
          <w:rFonts w:cs="Arial Black"/>
        </w:rPr>
        <w:t xml:space="preserve"> ,</w:t>
      </w:r>
      <w:proofErr w:type="gramEnd"/>
      <w:r w:rsidRPr="007459A0">
        <w:rPr>
          <w:rFonts w:cs="Arial Black"/>
        </w:rPr>
        <w:t xml:space="preserve"> познавательные</w:t>
      </w:r>
      <w:r>
        <w:rPr>
          <w:rFonts w:cs="Arial Black"/>
        </w:rPr>
        <w:t>,</w:t>
      </w:r>
      <w:r w:rsidRPr="007459A0">
        <w:rPr>
          <w:rFonts w:cs="Arial Black"/>
        </w:rPr>
        <w:t xml:space="preserve"> </w:t>
      </w:r>
      <w:r>
        <w:rPr>
          <w:rFonts w:cs="Arial Black"/>
        </w:rPr>
        <w:t>коммуникативные. Соответственно,</w:t>
      </w:r>
      <w:r w:rsidRPr="007459A0">
        <w:rPr>
          <w:rFonts w:cs="Arial Black"/>
        </w:rPr>
        <w:t xml:space="preserve"> диагностические материалы должны соответствовать особенностям каждого вида этих умений.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Изучая природу </w:t>
      </w:r>
      <w:proofErr w:type="spellStart"/>
      <w:r>
        <w:rPr>
          <w:rFonts w:cs="Arial Black"/>
        </w:rPr>
        <w:t>метапредметных</w:t>
      </w:r>
      <w:proofErr w:type="spellEnd"/>
      <w:r>
        <w:rPr>
          <w:rFonts w:cs="Arial Black"/>
        </w:rPr>
        <w:t xml:space="preserve"> УУД</w:t>
      </w:r>
      <w:proofErr w:type="gramStart"/>
      <w:r>
        <w:rPr>
          <w:rFonts w:cs="Arial Black"/>
        </w:rPr>
        <w:t xml:space="preserve"> ,</w:t>
      </w:r>
      <w:proofErr w:type="gramEnd"/>
      <w:r>
        <w:rPr>
          <w:rFonts w:cs="Arial Black"/>
        </w:rPr>
        <w:t xml:space="preserve"> включающих в себя универсальные  способы действия, мышления, коммуникации, самопознании  мы осознали, что  их формирование- длительный процесс, по мере прохождения которого обучающиеся должны научиться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1-выполнять  действия</w:t>
      </w:r>
      <w:r w:rsidRPr="007459A0">
        <w:rPr>
          <w:rFonts w:cs="Arial Black"/>
        </w:rPr>
        <w:t xml:space="preserve"> по образцу</w:t>
      </w:r>
      <w:r>
        <w:rPr>
          <w:rFonts w:cs="Arial Black"/>
        </w:rPr>
        <w:t>;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2- описывать  способ действия;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3- называть способ;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4- ставить цель.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Возрастные особенности учеников первого класса позволяют выполнять диагностические задания по выполнению действий по образцу и по ориентации в способе действия. Со второго  класса можно диагностировать их умение описать способ действия при </w:t>
      </w:r>
      <w:r>
        <w:rPr>
          <w:rFonts w:cs="Arial Black"/>
        </w:rPr>
        <w:lastRenderedPageBreak/>
        <w:t>выполнении конкретного задания. В третьем классе дети должны научиться называть способ действия. Умение ставить цель лучше диагностировать в средней школе. Таким образом, объектом диагностики на начальной стадии обучения являются познавательные и коммуникативные умения, регулятивные -</w:t>
      </w:r>
      <w:r w:rsidRPr="0002389C">
        <w:rPr>
          <w:rFonts w:cs="Arial Black"/>
        </w:rPr>
        <w:t xml:space="preserve"> </w:t>
      </w:r>
      <w:r>
        <w:rPr>
          <w:rFonts w:cs="Arial Black"/>
        </w:rPr>
        <w:t>частично.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Как учителя иностранного языка меня интересовали </w:t>
      </w:r>
      <w:proofErr w:type="spellStart"/>
      <w:r>
        <w:rPr>
          <w:rFonts w:cs="Arial Black"/>
        </w:rPr>
        <w:t>метапредметные</w:t>
      </w:r>
      <w:proofErr w:type="spellEnd"/>
      <w:r>
        <w:rPr>
          <w:rFonts w:cs="Arial Black"/>
        </w:rPr>
        <w:t xml:space="preserve"> УУД, которые можно диагностировать со второго класса. Проанализировав рекомендации выше указанных авторов, я пришла к выводу, что  при изучении уровня владения английским языком необходимо диагностировать следующие </w:t>
      </w:r>
      <w:proofErr w:type="spellStart"/>
      <w:r>
        <w:rPr>
          <w:rFonts w:cs="Arial Black"/>
        </w:rPr>
        <w:t>метапредметные</w:t>
      </w:r>
      <w:proofErr w:type="spellEnd"/>
      <w:r>
        <w:rPr>
          <w:rFonts w:cs="Arial Black"/>
        </w:rPr>
        <w:t xml:space="preserve"> УУД: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познавательные – умение осуществлять такие логические действия как анализ, синтез, сравнение, классификация, обобщения, аналогия;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коммуникативные – умение строить речевое высказывание по теме, задавать вопросы;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регулятивные - умение самостоятельно контролировать выполнение задания и оценивать результат по критериям.</w:t>
      </w:r>
      <w:r w:rsidRPr="00C5547F">
        <w:rPr>
          <w:rFonts w:cs="Arial Black"/>
        </w:rPr>
        <w:t xml:space="preserve">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Большинство ученых, с работами которых я ознакомилась, считают, что лучшим способом  отслеживания  уровня </w:t>
      </w:r>
      <w:proofErr w:type="spellStart"/>
      <w:r>
        <w:rPr>
          <w:rFonts w:cs="Arial Black"/>
        </w:rPr>
        <w:t>сформированности</w:t>
      </w:r>
      <w:proofErr w:type="spellEnd"/>
      <w:r>
        <w:rPr>
          <w:rFonts w:cs="Arial Black"/>
        </w:rPr>
        <w:t xml:space="preserve"> УУД является  мониторинг. </w:t>
      </w:r>
      <w:proofErr w:type="gramStart"/>
      <w:r>
        <w:rPr>
          <w:rFonts w:cs="Arial Black"/>
        </w:rPr>
        <w:t>Мониторинг образовательных компетенций - это комплексная процедура выполнения обучающимися  заданий, наблюдения за ними,  анкетирования и выполнение диагностических  заданий.</w:t>
      </w:r>
      <w:proofErr w:type="gramEnd"/>
      <w:r>
        <w:rPr>
          <w:rFonts w:cs="Arial Black"/>
        </w:rPr>
        <w:t xml:space="preserve"> (А Н. Трофимова</w:t>
      </w:r>
      <w:r w:rsidRPr="00BC6F8F">
        <w:rPr>
          <w:rFonts w:cs="Arial Black"/>
        </w:rPr>
        <w:t>”</w:t>
      </w:r>
      <w:r>
        <w:rPr>
          <w:rFonts w:cs="Arial Black"/>
        </w:rPr>
        <w:t xml:space="preserve"> Система оценивания планируемых результатов с учетом требований ФГОС</w:t>
      </w:r>
      <w:r w:rsidRPr="00BC6F8F">
        <w:rPr>
          <w:rFonts w:cs="Arial Black"/>
        </w:rPr>
        <w:t>”</w:t>
      </w:r>
      <w:r>
        <w:rPr>
          <w:rFonts w:cs="Arial Black"/>
        </w:rPr>
        <w:t xml:space="preserve"> с.15)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Ученые  Федерального научно-методического  центра  им. Л. В. </w:t>
      </w:r>
      <w:proofErr w:type="spellStart"/>
      <w:r>
        <w:rPr>
          <w:rFonts w:cs="Arial Black"/>
        </w:rPr>
        <w:t>Занкова</w:t>
      </w:r>
      <w:proofErr w:type="spellEnd"/>
      <w:r>
        <w:rPr>
          <w:rFonts w:cs="Arial Black"/>
        </w:rPr>
        <w:t xml:space="preserve">  в лице  М.Р. </w:t>
      </w:r>
      <w:proofErr w:type="spellStart"/>
      <w:r>
        <w:rPr>
          <w:rFonts w:cs="Arial Black"/>
        </w:rPr>
        <w:t>Битяновой</w:t>
      </w:r>
      <w:proofErr w:type="spellEnd"/>
      <w:proofErr w:type="gramStart"/>
      <w:r>
        <w:rPr>
          <w:rFonts w:cs="Arial Black"/>
        </w:rPr>
        <w:t xml:space="preserve"> ,</w:t>
      </w:r>
      <w:proofErr w:type="gramEnd"/>
      <w:r>
        <w:rPr>
          <w:rFonts w:cs="Arial Black"/>
        </w:rPr>
        <w:t xml:space="preserve"> С.Г. Яковлевой предлагают  проводить  первичную  обработку результатов выполнения  диагностических заданий     с помощью мини-таблиц, которые составлены  по  принципу</w:t>
      </w:r>
      <w:r w:rsidRPr="0002389C">
        <w:rPr>
          <w:rFonts w:cs="Arial Black"/>
        </w:rPr>
        <w:t>’’</w:t>
      </w:r>
      <w:r>
        <w:rPr>
          <w:rFonts w:cs="Arial Black"/>
        </w:rPr>
        <w:t xml:space="preserve"> выполнил</w:t>
      </w:r>
      <w:r w:rsidRPr="0002389C">
        <w:rPr>
          <w:rFonts w:cs="Arial Black"/>
        </w:rPr>
        <w:t>’’</w:t>
      </w:r>
      <w:r>
        <w:rPr>
          <w:rFonts w:cs="Arial Black"/>
        </w:rPr>
        <w:t xml:space="preserve"> (1 балл) /</w:t>
      </w:r>
      <w:r w:rsidRPr="0002389C">
        <w:rPr>
          <w:rFonts w:cs="Arial Black"/>
        </w:rPr>
        <w:t>’’</w:t>
      </w:r>
      <w:r>
        <w:rPr>
          <w:rFonts w:cs="Arial Black"/>
        </w:rPr>
        <w:t xml:space="preserve"> не  выполнил</w:t>
      </w:r>
      <w:r w:rsidRPr="0002389C">
        <w:rPr>
          <w:rFonts w:cs="Arial Black"/>
        </w:rPr>
        <w:t>’’</w:t>
      </w:r>
      <w:r>
        <w:rPr>
          <w:rFonts w:cs="Arial Black"/>
        </w:rPr>
        <w:t xml:space="preserve"> (0 баллов). Эти таблицы дают объективную информацию о развитии </w:t>
      </w:r>
      <w:proofErr w:type="spellStart"/>
      <w:r>
        <w:rPr>
          <w:rFonts w:cs="Arial Black"/>
        </w:rPr>
        <w:t>метапредметных</w:t>
      </w:r>
      <w:proofErr w:type="spellEnd"/>
      <w:r>
        <w:rPr>
          <w:rFonts w:cs="Arial Black"/>
        </w:rPr>
        <w:t xml:space="preserve"> УУД у каждого учащегося и в классе в целом, что помогает учителю  соотнести свои усилия с реальными возможностями детей.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Учитывая возрастные особенности детей начальной школы,</w:t>
      </w:r>
      <w:r w:rsidRPr="003A6D36">
        <w:rPr>
          <w:rFonts w:cs="Arial Black"/>
        </w:rPr>
        <w:t xml:space="preserve"> </w:t>
      </w:r>
      <w:r>
        <w:rPr>
          <w:rFonts w:cs="Arial Black"/>
        </w:rPr>
        <w:t>я изменила эти таблицы, сделала их цветными, то есть применила</w:t>
      </w:r>
      <w:r w:rsidRPr="003A6D36">
        <w:rPr>
          <w:rFonts w:cs="Arial Black"/>
        </w:rPr>
        <w:t>”</w:t>
      </w:r>
      <w:r>
        <w:rPr>
          <w:rFonts w:cs="Arial Black"/>
        </w:rPr>
        <w:t xml:space="preserve"> Светофор</w:t>
      </w:r>
      <w:r w:rsidRPr="003A6D36">
        <w:rPr>
          <w:rFonts w:cs="Arial Black"/>
        </w:rPr>
        <w:t>”</w:t>
      </w:r>
      <w:r>
        <w:rPr>
          <w:rFonts w:cs="Arial Black"/>
        </w:rPr>
        <w:t xml:space="preserve">. В моем </w:t>
      </w:r>
      <w:r w:rsidRPr="003A6D36">
        <w:rPr>
          <w:rFonts w:cs="Arial Black"/>
        </w:rPr>
        <w:t>”</w:t>
      </w:r>
      <w:r>
        <w:rPr>
          <w:rFonts w:cs="Arial Black"/>
        </w:rPr>
        <w:t xml:space="preserve"> Светофоре</w:t>
      </w:r>
      <w:r w:rsidRPr="003A6D36">
        <w:rPr>
          <w:rFonts w:cs="Arial Black"/>
        </w:rPr>
        <w:t>”</w:t>
      </w:r>
      <w:r>
        <w:rPr>
          <w:rFonts w:cs="Arial Black"/>
        </w:rPr>
        <w:t xml:space="preserve"> зеленый цвет обозначает хорошо выполненное задание, желтый-выполненное с ошибками, красный сигналит о неудаче.</w:t>
      </w:r>
      <w:r w:rsidRPr="003A6D36">
        <w:rPr>
          <w:rFonts w:cs="Arial Black"/>
        </w:rPr>
        <w:t xml:space="preserve"> </w:t>
      </w:r>
      <w:r>
        <w:rPr>
          <w:rFonts w:cs="Arial Black"/>
        </w:rPr>
        <w:t>Такая таблица легче для заполнения</w:t>
      </w:r>
      <w:r w:rsidRPr="00AF1029">
        <w:rPr>
          <w:rFonts w:cs="Arial Black"/>
        </w:rPr>
        <w:t xml:space="preserve"> </w:t>
      </w:r>
      <w:r>
        <w:rPr>
          <w:rFonts w:cs="Arial Black"/>
        </w:rPr>
        <w:t>учителем, а также  б</w:t>
      </w:r>
      <w:r w:rsidR="00A96DF9">
        <w:rPr>
          <w:rFonts w:cs="Arial Black"/>
        </w:rPr>
        <w:t xml:space="preserve">олее выразительна и понятна </w:t>
      </w:r>
      <w:r>
        <w:rPr>
          <w:rFonts w:cs="Arial Black"/>
        </w:rPr>
        <w:t>де</w:t>
      </w:r>
      <w:r w:rsidR="00A96DF9">
        <w:rPr>
          <w:rFonts w:cs="Arial Black"/>
        </w:rPr>
        <w:t>тям</w:t>
      </w:r>
      <w:r>
        <w:rPr>
          <w:rFonts w:cs="Arial Black"/>
        </w:rPr>
        <w:t xml:space="preserve"> начальной школы.</w:t>
      </w:r>
      <w:r w:rsidRPr="00037CDF">
        <w:rPr>
          <w:rFonts w:cs="Arial Black"/>
        </w:rPr>
        <w:t xml:space="preserve"> </w:t>
      </w:r>
    </w:p>
    <w:p w:rsidR="00A96DF9" w:rsidRDefault="009A4964" w:rsidP="009A4964">
      <w:pPr>
        <w:rPr>
          <w:rFonts w:cs="Arial Black"/>
        </w:rPr>
      </w:pPr>
      <w:r>
        <w:rPr>
          <w:rFonts w:cs="Arial Black"/>
        </w:rPr>
        <w:t xml:space="preserve">  Кроме мониторинга уровень </w:t>
      </w:r>
      <w:proofErr w:type="spellStart"/>
      <w:r>
        <w:rPr>
          <w:rFonts w:cs="Arial Black"/>
        </w:rPr>
        <w:t>сформированности</w:t>
      </w:r>
      <w:proofErr w:type="spellEnd"/>
      <w:r>
        <w:rPr>
          <w:rFonts w:cs="Arial Black"/>
        </w:rPr>
        <w:t xml:space="preserve"> УУД может быть измерен также в процессе проектирования и решения задач творческого и поискового характера. Учителя иностранного языка</w:t>
      </w:r>
      <w:r w:rsidR="00A96DF9">
        <w:rPr>
          <w:rFonts w:cs="Arial Black"/>
        </w:rPr>
        <w:t xml:space="preserve"> часто </w:t>
      </w:r>
      <w:r>
        <w:rPr>
          <w:rFonts w:cs="Arial Black"/>
        </w:rPr>
        <w:t xml:space="preserve"> используют такие  задания, например, при работе с  УМК</w:t>
      </w:r>
      <w:r w:rsidRPr="00F6183C">
        <w:rPr>
          <w:rFonts w:cs="Arial Black"/>
        </w:rPr>
        <w:t>’</w:t>
      </w:r>
      <w:r>
        <w:rPr>
          <w:rFonts w:cs="Arial Black"/>
        </w:rPr>
        <w:t xml:space="preserve"> </w:t>
      </w:r>
      <w:proofErr w:type="gramStart"/>
      <w:r>
        <w:rPr>
          <w:rFonts w:cs="Arial Black"/>
          <w:lang w:val="en-US"/>
        </w:rPr>
        <w:t>A</w:t>
      </w:r>
      <w:proofErr w:type="spellStart"/>
      <w:proofErr w:type="gramEnd"/>
      <w:r>
        <w:rPr>
          <w:rFonts w:cs="Arial Black"/>
        </w:rPr>
        <w:t>нглийский</w:t>
      </w:r>
      <w:proofErr w:type="spellEnd"/>
      <w:r>
        <w:rPr>
          <w:rFonts w:cs="Arial Black"/>
        </w:rPr>
        <w:t xml:space="preserve">  язык</w:t>
      </w:r>
      <w:r w:rsidRPr="00F6183C">
        <w:rPr>
          <w:rFonts w:cs="Arial Black"/>
        </w:rPr>
        <w:t>’</w:t>
      </w:r>
      <w:r>
        <w:rPr>
          <w:rFonts w:cs="Arial Black"/>
        </w:rPr>
        <w:t xml:space="preserve"> В.П.Кузовлева. Почти  каждый раздел этого УМК заканчивается проектной деятельностью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. Например, в теме</w:t>
      </w:r>
      <w:r w:rsidRPr="00364F8C">
        <w:rPr>
          <w:rFonts w:cs="Arial Black"/>
        </w:rPr>
        <w:t>”</w:t>
      </w:r>
      <w:r>
        <w:rPr>
          <w:rFonts w:cs="Arial Black"/>
        </w:rPr>
        <w:t xml:space="preserve"> Мой город особый</w:t>
      </w:r>
      <w:r w:rsidRPr="00364F8C">
        <w:rPr>
          <w:rFonts w:cs="Arial Black"/>
        </w:rPr>
        <w:t>”</w:t>
      </w:r>
      <w:r>
        <w:rPr>
          <w:rFonts w:cs="Arial Black"/>
        </w:rPr>
        <w:t xml:space="preserve"> этого УМК в четвертом классе развивающей задачей является развитие способности обучающихся логически излагать свои мысли,</w:t>
      </w:r>
      <w:r w:rsidRPr="00364F8C">
        <w:rPr>
          <w:rFonts w:cs="Arial Black"/>
        </w:rPr>
        <w:t xml:space="preserve"> </w:t>
      </w:r>
      <w:r>
        <w:rPr>
          <w:rFonts w:cs="Arial Black"/>
        </w:rPr>
        <w:t xml:space="preserve">их умение построить последовательное высказывание из 5-6 предложений. Выполнение данного проекта дает возможность диагностировать  </w:t>
      </w:r>
      <w:proofErr w:type="gramStart"/>
      <w:r>
        <w:rPr>
          <w:rFonts w:cs="Arial Black"/>
        </w:rPr>
        <w:t>следующие</w:t>
      </w:r>
      <w:proofErr w:type="gramEnd"/>
      <w:r>
        <w:rPr>
          <w:rFonts w:cs="Arial Black"/>
        </w:rPr>
        <w:t xml:space="preserve"> УУД участников:</w:t>
      </w:r>
    </w:p>
    <w:p w:rsidR="009A4964" w:rsidRDefault="009A4964" w:rsidP="009A4964">
      <w:pPr>
        <w:rPr>
          <w:rFonts w:cs="Arial Black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7"/>
        <w:gridCol w:w="1234"/>
        <w:gridCol w:w="775"/>
        <w:gridCol w:w="38"/>
        <w:gridCol w:w="738"/>
        <w:gridCol w:w="33"/>
        <w:gridCol w:w="973"/>
        <w:gridCol w:w="41"/>
        <w:gridCol w:w="961"/>
        <w:gridCol w:w="872"/>
        <w:gridCol w:w="25"/>
        <w:gridCol w:w="920"/>
        <w:gridCol w:w="929"/>
        <w:gridCol w:w="1495"/>
      </w:tblGrid>
      <w:tr w:rsidR="009A4964" w:rsidTr="00401527">
        <w:trPr>
          <w:trHeight w:val="190"/>
        </w:trPr>
        <w:tc>
          <w:tcPr>
            <w:tcW w:w="1070" w:type="dxa"/>
            <w:vMerge w:val="restart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ФИ</w:t>
            </w:r>
          </w:p>
        </w:tc>
        <w:tc>
          <w:tcPr>
            <w:tcW w:w="1072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Регуля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>-</w:t>
            </w:r>
          </w:p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тивные</w:t>
            </w:r>
            <w:proofErr w:type="spellEnd"/>
          </w:p>
        </w:tc>
        <w:tc>
          <w:tcPr>
            <w:tcW w:w="7472" w:type="dxa"/>
            <w:gridSpan w:val="11"/>
          </w:tcPr>
          <w:p w:rsidR="009A4964" w:rsidRPr="006F3FF5" w:rsidRDefault="009A4964" w:rsidP="00401527">
            <w:pPr>
              <w:ind w:left="108"/>
              <w:jc w:val="center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Познавательные УУД</w:t>
            </w:r>
          </w:p>
        </w:tc>
        <w:tc>
          <w:tcPr>
            <w:tcW w:w="1068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Коммуникативные</w:t>
            </w:r>
          </w:p>
        </w:tc>
      </w:tr>
      <w:tr w:rsidR="009A4964" w:rsidTr="00401527">
        <w:trPr>
          <w:trHeight w:val="122"/>
        </w:trPr>
        <w:tc>
          <w:tcPr>
            <w:tcW w:w="1070" w:type="dxa"/>
            <w:vMerge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</w:p>
        </w:tc>
        <w:tc>
          <w:tcPr>
            <w:tcW w:w="1072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Самостоятель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>-</w:t>
            </w:r>
          </w:p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ный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 xml:space="preserve"> контроль</w:t>
            </w:r>
            <w:r>
              <w:rPr>
                <w:rFonts w:cs="Arial Black"/>
                <w:sz w:val="16"/>
                <w:szCs w:val="16"/>
              </w:rPr>
              <w:t xml:space="preserve"> действия</w:t>
            </w:r>
          </w:p>
        </w:tc>
        <w:tc>
          <w:tcPr>
            <w:tcW w:w="1046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Анализ</w:t>
            </w:r>
          </w:p>
        </w:tc>
        <w:tc>
          <w:tcPr>
            <w:tcW w:w="1073" w:type="dxa"/>
            <w:gridSpan w:val="2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Синтез</w:t>
            </w:r>
          </w:p>
        </w:tc>
        <w:tc>
          <w:tcPr>
            <w:tcW w:w="1060" w:type="dxa"/>
            <w:gridSpan w:val="2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Сравнение</w:t>
            </w:r>
          </w:p>
        </w:tc>
        <w:tc>
          <w:tcPr>
            <w:tcW w:w="1087" w:type="dxa"/>
            <w:gridSpan w:val="2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Классифи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>-</w:t>
            </w:r>
          </w:p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кация</w:t>
            </w:r>
            <w:proofErr w:type="spellEnd"/>
          </w:p>
        </w:tc>
        <w:tc>
          <w:tcPr>
            <w:tcW w:w="1060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Обобще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>-</w:t>
            </w:r>
          </w:p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 w:rsidRPr="006F3FF5">
              <w:rPr>
                <w:rFonts w:cs="Arial Black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073" w:type="dxa"/>
            <w:gridSpan w:val="2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>
              <w:rPr>
                <w:rFonts w:cs="Arial Black"/>
                <w:sz w:val="16"/>
                <w:szCs w:val="16"/>
              </w:rPr>
              <w:t>Причино</w:t>
            </w:r>
            <w:proofErr w:type="spellEnd"/>
            <w:r>
              <w:rPr>
                <w:rFonts w:cs="Arial Black"/>
                <w:sz w:val="16"/>
                <w:szCs w:val="16"/>
              </w:rPr>
              <w:t>-</w:t>
            </w:r>
          </w:p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proofErr w:type="spellStart"/>
            <w:r>
              <w:rPr>
                <w:rFonts w:cs="Arial Black"/>
                <w:sz w:val="16"/>
                <w:szCs w:val="16"/>
              </w:rPr>
              <w:t>ственные</w:t>
            </w:r>
            <w:proofErr w:type="spellEnd"/>
            <w:r w:rsidRPr="006F3FF5">
              <w:rPr>
                <w:rFonts w:cs="Arial Black"/>
                <w:sz w:val="16"/>
                <w:szCs w:val="16"/>
              </w:rPr>
              <w:t xml:space="preserve"> связи</w:t>
            </w:r>
          </w:p>
        </w:tc>
        <w:tc>
          <w:tcPr>
            <w:tcW w:w="1073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 w:rsidRPr="006F3FF5">
              <w:rPr>
                <w:rFonts w:cs="Arial Black"/>
                <w:sz w:val="16"/>
                <w:szCs w:val="16"/>
              </w:rPr>
              <w:t>Аналоги</w:t>
            </w:r>
            <w:r>
              <w:rPr>
                <w:rFonts w:cs="Arial Black"/>
                <w:sz w:val="16"/>
                <w:szCs w:val="16"/>
              </w:rPr>
              <w:t>и</w:t>
            </w:r>
          </w:p>
        </w:tc>
        <w:tc>
          <w:tcPr>
            <w:tcW w:w="1068" w:type="dxa"/>
          </w:tcPr>
          <w:p w:rsidR="009A4964" w:rsidRPr="006F3FF5" w:rsidRDefault="009A4964" w:rsidP="00401527">
            <w:pPr>
              <w:ind w:left="108"/>
              <w:rPr>
                <w:rFonts w:cs="Arial Black"/>
                <w:sz w:val="16"/>
                <w:szCs w:val="16"/>
              </w:rPr>
            </w:pPr>
            <w:r>
              <w:rPr>
                <w:rFonts w:cs="Arial Black"/>
                <w:sz w:val="16"/>
                <w:szCs w:val="16"/>
              </w:rPr>
              <w:t>Речевое высказыва</w:t>
            </w:r>
            <w:r w:rsidRPr="006F3FF5">
              <w:rPr>
                <w:rFonts w:cs="Arial Black"/>
                <w:sz w:val="16"/>
                <w:szCs w:val="16"/>
              </w:rPr>
              <w:t>ние</w:t>
            </w: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6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70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  <w:tc>
          <w:tcPr>
            <w:tcW w:w="1068" w:type="dxa"/>
          </w:tcPr>
          <w:p w:rsidR="009A4964" w:rsidRDefault="009A4964" w:rsidP="00401527">
            <w:pPr>
              <w:rPr>
                <w:rFonts w:cs="Arial Black"/>
              </w:rPr>
            </w:pPr>
          </w:p>
        </w:tc>
      </w:tr>
    </w:tbl>
    <w:p w:rsidR="009A4964" w:rsidRDefault="009A4964" w:rsidP="009A4964">
      <w:pPr>
        <w:rPr>
          <w:rFonts w:cs="Arial Black"/>
        </w:rPr>
      </w:pPr>
    </w:p>
    <w:p w:rsidR="00BF265C" w:rsidRDefault="009A4964" w:rsidP="009A4964">
      <w:pPr>
        <w:rPr>
          <w:rFonts w:cs="Arial Black"/>
        </w:rPr>
      </w:pPr>
      <w:r>
        <w:rPr>
          <w:rFonts w:cs="Arial Black"/>
        </w:rPr>
        <w:t xml:space="preserve">Для успешного развития </w:t>
      </w:r>
      <w:proofErr w:type="spellStart"/>
      <w:r>
        <w:rPr>
          <w:rFonts w:cs="Arial Black"/>
        </w:rPr>
        <w:t>метапредметных</w:t>
      </w:r>
      <w:proofErr w:type="spellEnd"/>
      <w:r>
        <w:rPr>
          <w:rFonts w:cs="Arial Black"/>
        </w:rPr>
        <w:t xml:space="preserve"> УУД</w:t>
      </w:r>
      <w:r w:rsidR="00A96DF9">
        <w:rPr>
          <w:rFonts w:cs="Arial Black"/>
        </w:rPr>
        <w:t xml:space="preserve"> в процессе  выполнения творческих заданий </w:t>
      </w:r>
      <w:r>
        <w:rPr>
          <w:rFonts w:cs="Arial Black"/>
        </w:rPr>
        <w:t xml:space="preserve"> мною разработана и адаптирована к  учебнику  второго класса этого авторского коллектива  программа</w:t>
      </w:r>
      <w:r w:rsidRPr="00FA7A45">
        <w:rPr>
          <w:rFonts w:cs="Arial Black"/>
        </w:rPr>
        <w:t>”</w:t>
      </w:r>
      <w:r>
        <w:rPr>
          <w:rFonts w:cs="Arial Black"/>
        </w:rPr>
        <w:t xml:space="preserve"> Английский в сказке</w:t>
      </w:r>
      <w:r w:rsidRPr="003A3479">
        <w:rPr>
          <w:rFonts w:cs="Arial Black"/>
        </w:rPr>
        <w:t>”</w:t>
      </w:r>
      <w:r>
        <w:rPr>
          <w:rFonts w:cs="Arial Black"/>
        </w:rPr>
        <w:t>.</w:t>
      </w:r>
      <w:r w:rsidRPr="002A0B2B">
        <w:rPr>
          <w:rFonts w:cs="Arial Black"/>
        </w:rPr>
        <w:t xml:space="preserve"> </w:t>
      </w:r>
      <w:r w:rsidR="00A96DF9">
        <w:rPr>
          <w:rFonts w:cs="Arial Black"/>
        </w:rPr>
        <w:t xml:space="preserve">Инсценируя </w:t>
      </w:r>
      <w:r>
        <w:rPr>
          <w:rFonts w:cs="Arial Black"/>
        </w:rPr>
        <w:t xml:space="preserve">  на </w:t>
      </w:r>
      <w:r w:rsidR="00A96DF9">
        <w:rPr>
          <w:rFonts w:cs="Arial Black"/>
        </w:rPr>
        <w:t>английском языке русские и английские  сказки</w:t>
      </w:r>
      <w:r>
        <w:rPr>
          <w:rFonts w:cs="Arial Black"/>
        </w:rPr>
        <w:t>, дети овладевают познавательными,</w:t>
      </w:r>
      <w:r w:rsidRPr="00071542">
        <w:rPr>
          <w:rFonts w:cs="Arial Black"/>
        </w:rPr>
        <w:t xml:space="preserve"> </w:t>
      </w:r>
      <w:r>
        <w:rPr>
          <w:rFonts w:cs="Arial Black"/>
        </w:rPr>
        <w:t xml:space="preserve">регулятивными и коммуникативными умениями, уровень развития </w:t>
      </w:r>
      <w:r w:rsidRPr="002A0B2B">
        <w:rPr>
          <w:rFonts w:cs="Arial Black"/>
        </w:rPr>
        <w:t xml:space="preserve"> </w:t>
      </w:r>
      <w:r>
        <w:rPr>
          <w:rFonts w:cs="Arial Black"/>
        </w:rPr>
        <w:t>которых  можно измерить с помощью диагностических заданий  в</w:t>
      </w:r>
      <w:r w:rsidR="00A21DB9">
        <w:rPr>
          <w:rFonts w:cs="Arial Black"/>
        </w:rPr>
        <w:t xml:space="preserve"> соответствии с этапами формирования универсальных способов действий.</w:t>
      </w:r>
      <w:r w:rsidR="00A21DB9" w:rsidRPr="00A21DB9">
        <w:rPr>
          <w:rFonts w:cs="Arial Black"/>
        </w:rPr>
        <w:t xml:space="preserve"> </w:t>
      </w:r>
      <w:r w:rsidR="00A21DB9">
        <w:rPr>
          <w:rFonts w:cs="Arial Black"/>
        </w:rPr>
        <w:t>Результаты я фиксирую с помощью</w:t>
      </w:r>
      <w:r w:rsidR="00A21DB9" w:rsidRPr="00A21DB9">
        <w:rPr>
          <w:rFonts w:cs="Arial Black"/>
        </w:rPr>
        <w:t>”</w:t>
      </w:r>
      <w:r w:rsidR="00A21DB9">
        <w:rPr>
          <w:rFonts w:cs="Arial Black"/>
        </w:rPr>
        <w:t xml:space="preserve"> Светофора</w:t>
      </w:r>
      <w:r w:rsidR="00A21DB9" w:rsidRPr="00BF265C">
        <w:rPr>
          <w:rFonts w:cs="Arial Black"/>
        </w:rPr>
        <w:t>”</w:t>
      </w:r>
      <w:r w:rsidR="00A21DB9">
        <w:rPr>
          <w:rFonts w:cs="Arial Black"/>
        </w:rPr>
        <w:t>.</w:t>
      </w:r>
    </w:p>
    <w:p w:rsidR="0033069F" w:rsidRDefault="0033069F" w:rsidP="009A4964">
      <w:pPr>
        <w:rPr>
          <w:rFonts w:cs="Arial Black"/>
        </w:rPr>
      </w:pPr>
    </w:p>
    <w:p w:rsidR="009A4964" w:rsidRPr="00A21DB9" w:rsidRDefault="00A21DB9" w:rsidP="009A4964">
      <w:pPr>
        <w:rPr>
          <w:rFonts w:cs="Arial Black"/>
        </w:rPr>
      </w:pPr>
      <w:bookmarkStart w:id="0" w:name="_GoBack"/>
      <w:bookmarkEnd w:id="0"/>
      <w:r>
        <w:rPr>
          <w:rFonts w:cs="Arial Black"/>
        </w:rPr>
        <w:t xml:space="preserve">Уровень </w:t>
      </w:r>
      <w:proofErr w:type="spellStart"/>
      <w:r>
        <w:rPr>
          <w:rFonts w:cs="Arial Black"/>
        </w:rPr>
        <w:t>сформированности</w:t>
      </w:r>
      <w:proofErr w:type="spellEnd"/>
      <w:r w:rsidR="00BF265C">
        <w:rPr>
          <w:rFonts w:cs="Arial Black"/>
        </w:rPr>
        <w:t xml:space="preserve"> </w:t>
      </w:r>
      <w:r>
        <w:rPr>
          <w:rFonts w:cs="Arial Black"/>
        </w:rPr>
        <w:t xml:space="preserve"> умения </w:t>
      </w:r>
      <w:r w:rsidR="00BF265C">
        <w:rPr>
          <w:rFonts w:cs="Arial Black"/>
        </w:rPr>
        <w:t>работы в группе обучающихся во 2Аклассе. 10.12.2016.</w:t>
      </w:r>
    </w:p>
    <w:p w:rsidR="009A4964" w:rsidRDefault="009A4964" w:rsidP="009A4964">
      <w:pPr>
        <w:rPr>
          <w:rFonts w:cs="Arial Black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37"/>
        <w:gridCol w:w="17"/>
        <w:gridCol w:w="2419"/>
        <w:gridCol w:w="2418"/>
        <w:gridCol w:w="8"/>
        <w:gridCol w:w="2372"/>
      </w:tblGrid>
      <w:tr w:rsidR="009A4964" w:rsidTr="00401527">
        <w:trPr>
          <w:trHeight w:val="203"/>
        </w:trPr>
        <w:tc>
          <w:tcPr>
            <w:tcW w:w="2689" w:type="dxa"/>
            <w:gridSpan w:val="2"/>
            <w:vMerge w:val="restart"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  <w:r>
              <w:rPr>
                <w:rFonts w:cs="Arial Black"/>
              </w:rPr>
              <w:t>ФИ</w:t>
            </w:r>
          </w:p>
        </w:tc>
        <w:tc>
          <w:tcPr>
            <w:tcW w:w="7993" w:type="dxa"/>
            <w:gridSpan w:val="4"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  <w:r>
              <w:rPr>
                <w:rFonts w:cs="Arial Black"/>
              </w:rPr>
              <w:t>Умение работать в группе (сотрудничество)</w:t>
            </w:r>
          </w:p>
        </w:tc>
      </w:tr>
      <w:tr w:rsidR="009A4964" w:rsidTr="00401527">
        <w:trPr>
          <w:trHeight w:val="109"/>
        </w:trPr>
        <w:tc>
          <w:tcPr>
            <w:tcW w:w="2689" w:type="dxa"/>
            <w:gridSpan w:val="2"/>
            <w:vMerge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</w:p>
        </w:tc>
        <w:tc>
          <w:tcPr>
            <w:tcW w:w="2650" w:type="dxa"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  <w:r>
              <w:rPr>
                <w:rFonts w:cs="Arial Black"/>
              </w:rPr>
              <w:t>Выполнение</w:t>
            </w:r>
          </w:p>
        </w:tc>
        <w:tc>
          <w:tcPr>
            <w:tcW w:w="2663" w:type="dxa"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  <w:r>
              <w:rPr>
                <w:rFonts w:cs="Arial Black"/>
              </w:rPr>
              <w:t>Ориентация</w:t>
            </w:r>
          </w:p>
        </w:tc>
        <w:tc>
          <w:tcPr>
            <w:tcW w:w="2680" w:type="dxa"/>
            <w:gridSpan w:val="2"/>
          </w:tcPr>
          <w:p w:rsidR="009A4964" w:rsidRDefault="009A4964" w:rsidP="00401527">
            <w:pPr>
              <w:ind w:left="108"/>
              <w:rPr>
                <w:rFonts w:cs="Arial Black"/>
              </w:rPr>
            </w:pPr>
            <w:r>
              <w:rPr>
                <w:rFonts w:cs="Arial Black"/>
              </w:rPr>
              <w:t>Описание</w:t>
            </w: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2669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Антонов Илья</w:t>
            </w:r>
          </w:p>
        </w:tc>
        <w:tc>
          <w:tcPr>
            <w:tcW w:w="2670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зеленый</w:t>
            </w:r>
          </w:p>
        </w:tc>
        <w:tc>
          <w:tcPr>
            <w:tcW w:w="2671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з</w:t>
            </w:r>
          </w:p>
        </w:tc>
        <w:tc>
          <w:tcPr>
            <w:tcW w:w="2672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з</w:t>
            </w: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2669" w:type="dxa"/>
          </w:tcPr>
          <w:p w:rsidR="009A4964" w:rsidRDefault="009A4964" w:rsidP="00401527">
            <w:pPr>
              <w:rPr>
                <w:rFonts w:cs="Arial Black"/>
              </w:rPr>
            </w:pPr>
            <w:proofErr w:type="spellStart"/>
            <w:r>
              <w:rPr>
                <w:rFonts w:cs="Arial Black"/>
              </w:rPr>
              <w:t>Еремеева</w:t>
            </w:r>
            <w:proofErr w:type="spellEnd"/>
            <w:r>
              <w:rPr>
                <w:rFonts w:cs="Arial Black"/>
              </w:rPr>
              <w:t xml:space="preserve"> Анна</w:t>
            </w:r>
          </w:p>
        </w:tc>
        <w:tc>
          <w:tcPr>
            <w:tcW w:w="2670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з</w:t>
            </w:r>
          </w:p>
        </w:tc>
        <w:tc>
          <w:tcPr>
            <w:tcW w:w="2671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з</w:t>
            </w:r>
          </w:p>
        </w:tc>
        <w:tc>
          <w:tcPr>
            <w:tcW w:w="2672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ж</w:t>
            </w: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2669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Гусева Вика</w:t>
            </w:r>
          </w:p>
        </w:tc>
        <w:tc>
          <w:tcPr>
            <w:tcW w:w="2670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желтый</w:t>
            </w:r>
          </w:p>
        </w:tc>
        <w:tc>
          <w:tcPr>
            <w:tcW w:w="2671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красный</w:t>
            </w:r>
          </w:p>
        </w:tc>
        <w:tc>
          <w:tcPr>
            <w:tcW w:w="2672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ж</w:t>
            </w:r>
          </w:p>
        </w:tc>
      </w:tr>
      <w:tr w:rsidR="009A4964" w:rsidTr="00401527">
        <w:tblPrEx>
          <w:tblLook w:val="04A0" w:firstRow="1" w:lastRow="0" w:firstColumn="1" w:lastColumn="0" w:noHBand="0" w:noVBand="1"/>
        </w:tblPrEx>
        <w:tc>
          <w:tcPr>
            <w:tcW w:w="2669" w:type="dxa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Петров Сергей</w:t>
            </w:r>
          </w:p>
        </w:tc>
        <w:tc>
          <w:tcPr>
            <w:tcW w:w="2670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ж</w:t>
            </w:r>
          </w:p>
        </w:tc>
        <w:tc>
          <w:tcPr>
            <w:tcW w:w="2671" w:type="dxa"/>
            <w:gridSpan w:val="2"/>
          </w:tcPr>
          <w:p w:rsidR="009A4964" w:rsidRDefault="009A4964" w:rsidP="00401527">
            <w:pPr>
              <w:rPr>
                <w:rFonts w:cs="Arial Black"/>
              </w:rPr>
            </w:pPr>
            <w:r>
              <w:rPr>
                <w:rFonts w:cs="Arial Black"/>
              </w:rPr>
              <w:t>ж</w:t>
            </w:r>
          </w:p>
        </w:tc>
        <w:tc>
          <w:tcPr>
            <w:tcW w:w="2672" w:type="dxa"/>
          </w:tcPr>
          <w:p w:rsidR="009A4964" w:rsidRDefault="009A4964" w:rsidP="00401527">
            <w:pPr>
              <w:rPr>
                <w:rFonts w:cs="Arial Black"/>
              </w:rPr>
            </w:pPr>
            <w:proofErr w:type="spellStart"/>
            <w:proofErr w:type="gramStart"/>
            <w:r>
              <w:rPr>
                <w:rFonts w:cs="Arial Black"/>
              </w:rPr>
              <w:t>кр</w:t>
            </w:r>
            <w:proofErr w:type="spellEnd"/>
            <w:proofErr w:type="gramEnd"/>
          </w:p>
        </w:tc>
      </w:tr>
    </w:tbl>
    <w:p w:rsidR="009A4964" w:rsidRPr="00DD565A" w:rsidRDefault="00BF265C" w:rsidP="009A4964">
      <w:pPr>
        <w:rPr>
          <w:rFonts w:cs="Arial Black"/>
        </w:rPr>
      </w:pPr>
      <w:r>
        <w:rPr>
          <w:rFonts w:cs="Arial Black"/>
        </w:rPr>
        <w:t>Зеленый цве</w:t>
      </w:r>
      <w:proofErr w:type="gramStart"/>
      <w:r>
        <w:rPr>
          <w:rFonts w:cs="Arial Black"/>
        </w:rPr>
        <w:t>т(</w:t>
      </w:r>
      <w:proofErr w:type="gramEnd"/>
      <w:r>
        <w:rPr>
          <w:rFonts w:cs="Arial Black"/>
        </w:rPr>
        <w:t>з)-высокий уровень, желтый(ж)-средний, красный(кр)-низкий.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  Разработка  универсальных   диагностических материалов и их систематизация является достаточно сложным вопросом для  учителей-практиков, так как  требует не только  знаний педагогики, но в большей мере психологии.  Если для учителей  начальной школы научно-методический центр им. Л. В. </w:t>
      </w:r>
      <w:proofErr w:type="spellStart"/>
      <w:r>
        <w:rPr>
          <w:rFonts w:cs="Arial Black"/>
        </w:rPr>
        <w:t>Занкова</w:t>
      </w:r>
      <w:proofErr w:type="spellEnd"/>
      <w:r>
        <w:rPr>
          <w:rFonts w:cs="Arial Black"/>
        </w:rPr>
        <w:t xml:space="preserve"> предлагает некоторые методические рекомендации, то учителям иностранного языка приходится разрабатывать их самостоятельно.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Для успешного выполнения образовательных задач, поставленных ФГОС, ученым и педагогам необходимо как можно быстрее разработать универсальную систему отслеживания развития важнейших социальных компетентностей обучающихся. Наша творческая группа пробует внести свой посильный вклад в решение этой трудной задачи и готова к сотрудничеству.</w:t>
      </w: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Литература.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1.Акулова О.В., Писарева С.А., Пискунова Е.В.</w:t>
      </w:r>
      <w:r w:rsidRPr="00BC6F8F">
        <w:rPr>
          <w:rFonts w:cs="Arial Black"/>
        </w:rPr>
        <w:t>”</w:t>
      </w:r>
      <w:r>
        <w:rPr>
          <w:rFonts w:cs="Arial Black"/>
        </w:rPr>
        <w:t xml:space="preserve"> Конструирование ситуационных задач для оценки компетентности учащихся</w:t>
      </w:r>
      <w:r w:rsidRPr="00BC6F8F">
        <w:rPr>
          <w:rFonts w:cs="Arial Black"/>
        </w:rPr>
        <w:t>”</w:t>
      </w:r>
      <w:r>
        <w:rPr>
          <w:rFonts w:cs="Arial Black"/>
        </w:rPr>
        <w:t>- СПб</w:t>
      </w:r>
      <w:proofErr w:type="gramStart"/>
      <w:r>
        <w:rPr>
          <w:rFonts w:cs="Arial Black"/>
        </w:rPr>
        <w:t xml:space="preserve">.: </w:t>
      </w:r>
      <w:proofErr w:type="gramEnd"/>
      <w:r>
        <w:rPr>
          <w:rFonts w:cs="Arial Black"/>
        </w:rPr>
        <w:t xml:space="preserve">Каро,2008.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 xml:space="preserve">2.Битянова М.Р., Меркулова Т.В., Теплицкая А.Г., </w:t>
      </w:r>
      <w:proofErr w:type="spellStart"/>
      <w:r>
        <w:rPr>
          <w:rFonts w:cs="Arial Black"/>
        </w:rPr>
        <w:t>Беглова</w:t>
      </w:r>
      <w:proofErr w:type="spellEnd"/>
      <w:r>
        <w:rPr>
          <w:rFonts w:cs="Arial Black"/>
        </w:rPr>
        <w:t xml:space="preserve"> Т.В.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 Методические рекомендации к рабочей тетради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 Учимся учиться и действовать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.- Самара: Учебная литература,2013. 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3. Запятая О.В.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 Диагностика коммуникативных учебных действий у младших школьников</w:t>
      </w:r>
      <w:r w:rsidRPr="00FA44E5">
        <w:rPr>
          <w:rFonts w:cs="Arial Black"/>
        </w:rPr>
        <w:t>”</w:t>
      </w:r>
      <w:r>
        <w:rPr>
          <w:rFonts w:cs="Arial Black"/>
        </w:rPr>
        <w:t>. – Волгоград: Учитель, 2015.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4. Трофимова А.Н.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 Система оценивания планируемых результатов с учетом требований ФГОС: начальная школа</w:t>
      </w:r>
      <w:r w:rsidRPr="00FA44E5">
        <w:rPr>
          <w:rFonts w:cs="Arial Black"/>
        </w:rPr>
        <w:t>”</w:t>
      </w:r>
      <w:r>
        <w:rPr>
          <w:rFonts w:cs="Arial Black"/>
        </w:rPr>
        <w:t>.- Волгоград</w:t>
      </w:r>
      <w:proofErr w:type="gramStart"/>
      <w:r>
        <w:rPr>
          <w:rFonts w:cs="Arial Black"/>
        </w:rPr>
        <w:t xml:space="preserve"> :</w:t>
      </w:r>
      <w:proofErr w:type="gramEnd"/>
      <w:r>
        <w:rPr>
          <w:rFonts w:cs="Arial Black"/>
        </w:rPr>
        <w:t xml:space="preserve"> Учитель,2015.</w:t>
      </w:r>
    </w:p>
    <w:p w:rsidR="009A4964" w:rsidRDefault="009A4964" w:rsidP="009A4964">
      <w:pPr>
        <w:rPr>
          <w:rFonts w:cs="Arial Black"/>
        </w:rPr>
      </w:pPr>
      <w:r>
        <w:rPr>
          <w:rFonts w:cs="Arial Black"/>
        </w:rPr>
        <w:t>5.Министерство образования и науки РФ</w:t>
      </w:r>
      <w:r w:rsidRPr="00FA44E5">
        <w:rPr>
          <w:rFonts w:cs="Arial Black"/>
        </w:rPr>
        <w:t>”</w:t>
      </w:r>
      <w:r>
        <w:rPr>
          <w:rFonts w:cs="Arial Black"/>
        </w:rPr>
        <w:t xml:space="preserve"> Федеральный государственный образовательный стандарт начального общего образования</w:t>
      </w:r>
      <w:r w:rsidRPr="00FA44E5">
        <w:rPr>
          <w:rFonts w:cs="Arial Black"/>
        </w:rPr>
        <w:t>”</w:t>
      </w:r>
      <w:r>
        <w:rPr>
          <w:rFonts w:cs="Arial Black"/>
        </w:rPr>
        <w:t>.- М.: Просвещение,2016.</w:t>
      </w: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</w:p>
    <w:p w:rsidR="009A4964" w:rsidRDefault="009A4964" w:rsidP="009A4964">
      <w:pPr>
        <w:rPr>
          <w:rFonts w:cs="Arial Black"/>
        </w:rPr>
      </w:pPr>
    </w:p>
    <w:p w:rsidR="008F6257" w:rsidRDefault="0033069F"/>
    <w:sectPr w:rsidR="008F6257" w:rsidSect="0061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96D"/>
    <w:rsid w:val="002D2F29"/>
    <w:rsid w:val="002D37DC"/>
    <w:rsid w:val="0033069F"/>
    <w:rsid w:val="004A5E87"/>
    <w:rsid w:val="0061196A"/>
    <w:rsid w:val="009A4964"/>
    <w:rsid w:val="009E6937"/>
    <w:rsid w:val="009F2B32"/>
    <w:rsid w:val="00A21DB9"/>
    <w:rsid w:val="00A96DF9"/>
    <w:rsid w:val="00B1496D"/>
    <w:rsid w:val="00BE135B"/>
    <w:rsid w:val="00BF265C"/>
    <w:rsid w:val="00C07B7C"/>
    <w:rsid w:val="00DE620B"/>
    <w:rsid w:val="00F269B2"/>
    <w:rsid w:val="00F30F5F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49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школаноут4</dc:creator>
  <cp:keywords/>
  <dc:description/>
  <cp:lastModifiedBy>школаноут4</cp:lastModifiedBy>
  <cp:revision>4</cp:revision>
  <dcterms:created xsi:type="dcterms:W3CDTF">2017-08-03T15:12:00Z</dcterms:created>
  <dcterms:modified xsi:type="dcterms:W3CDTF">2017-08-04T05:52:00Z</dcterms:modified>
</cp:coreProperties>
</file>